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D8106F" w:rsidRPr="00D8106F" w:rsidTr="00D8106F">
        <w:tc>
          <w:tcPr>
            <w:tcW w:w="8644" w:type="dxa"/>
            <w:shd w:val="pct10" w:color="auto" w:fill="FFFFFF"/>
          </w:tcPr>
          <w:p w:rsidR="00D8106F" w:rsidRPr="00D8106F" w:rsidRDefault="00D8106F" w:rsidP="003543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s-ES_tradnl" w:eastAsia="es-ES"/>
              </w:rPr>
            </w:pPr>
            <w:r w:rsidRPr="00D8106F">
              <w:rPr>
                <w:rFonts w:ascii="Garamond" w:eastAsia="Times New Roman" w:hAnsi="Garamond" w:cs="Times New Roman"/>
                <w:b/>
                <w:sz w:val="24"/>
                <w:szCs w:val="20"/>
                <w:lang w:val="es-ES_tradnl" w:eastAsia="es-ES"/>
              </w:rPr>
              <w:t xml:space="preserve">PROPUESTA DE ACUERDO DE CONVOCATORIA PROCESO SELECTIVO PARA CUBRIR POR </w:t>
            </w:r>
            <w:r>
              <w:rPr>
                <w:rFonts w:ascii="Garamond" w:eastAsia="Times New Roman" w:hAnsi="Garamond" w:cs="Times New Roman"/>
                <w:b/>
                <w:sz w:val="24"/>
                <w:szCs w:val="20"/>
                <w:lang w:val="es-ES_tradnl" w:eastAsia="es-ES"/>
              </w:rPr>
              <w:t xml:space="preserve">PROMOCION INTERNA PLAZAS DE PERSONAL DE ADMINISTRACIÓN Y SERVICIOS LABORAL DE </w:t>
            </w:r>
            <w:r w:rsidR="003543DD">
              <w:rPr>
                <w:rFonts w:ascii="Garamond" w:eastAsia="Times New Roman" w:hAnsi="Garamond" w:cs="Times New Roman"/>
                <w:b/>
                <w:sz w:val="24"/>
                <w:szCs w:val="20"/>
                <w:lang w:val="es-ES_tradnl" w:eastAsia="es-ES"/>
              </w:rPr>
              <w:t xml:space="preserve"> </w:t>
            </w:r>
            <w:r w:rsidRPr="00D8106F">
              <w:rPr>
                <w:rFonts w:ascii="Garamond" w:eastAsia="Times New Roman" w:hAnsi="Garamond" w:cs="Times New Roman"/>
                <w:b/>
                <w:sz w:val="24"/>
                <w:szCs w:val="20"/>
                <w:lang w:val="es-ES_tradnl" w:eastAsia="es-ES"/>
              </w:rPr>
              <w:t xml:space="preserve">LA UNIVERSIDAD DE CÁDIZ </w:t>
            </w:r>
          </w:p>
        </w:tc>
      </w:tr>
    </w:tbl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</w:p>
    <w:p w:rsidR="00D8106F" w:rsidRPr="00D8106F" w:rsidRDefault="00D8106F" w:rsidP="00D81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  <w:r w:rsidRPr="00D8106F"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  <w:t>1.- EXPOSICIÓN DE MOTIVOS</w:t>
      </w: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0"/>
          <w:lang w:val="es-ES_tradnl" w:eastAsia="es-ES"/>
        </w:rPr>
      </w:pPr>
    </w:p>
    <w:p w:rsidR="009E6085" w:rsidRDefault="009E6085" w:rsidP="003543D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Toda vez que vez</w:t>
      </w:r>
      <w:r w:rsidR="003543DD">
        <w:rPr>
          <w:rFonts w:ascii="Garamond" w:hAnsi="Garamond"/>
          <w:sz w:val="24"/>
          <w:szCs w:val="24"/>
        </w:rPr>
        <w:t xml:space="preserve"> que </w:t>
      </w:r>
      <w:r>
        <w:rPr>
          <w:rFonts w:ascii="Garamond" w:hAnsi="Garamond"/>
          <w:sz w:val="24"/>
          <w:szCs w:val="24"/>
        </w:rPr>
        <w:t>el artículo 21 de la Ley de 22/2013, de 23 de diciembre, de Presupuestos Generales del Estado para el año 2014 establecía la incorporación de personal para ese año y lo dispuesto en le Ley 36/2014, de 26 de diciembre, de Presupuestos Generales del Estado  que establece una tasa de reposición para el PAS del 50%</w:t>
      </w:r>
      <w:proofErr w:type="gramStart"/>
      <w:r>
        <w:rPr>
          <w:rFonts w:ascii="Garamond" w:hAnsi="Garamond"/>
          <w:sz w:val="24"/>
          <w:szCs w:val="24"/>
        </w:rPr>
        <w:t>,como</w:t>
      </w:r>
      <w:proofErr w:type="gramEnd"/>
      <w:r>
        <w:rPr>
          <w:rFonts w:ascii="Garamond" w:hAnsi="Garamond"/>
          <w:sz w:val="24"/>
          <w:szCs w:val="24"/>
        </w:rPr>
        <w:t xml:space="preserve"> consecuencia de ello jubilaciones y fallecimientos no han podido ser cubiertos en los últimos años. </w:t>
      </w:r>
    </w:p>
    <w:p w:rsidR="009E6085" w:rsidRDefault="009E6085" w:rsidP="003543D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Universidad de Cádiz, al no establecer las referidas leyes restricciones a poner en marcha procesos que permitan la promoción de la plantilla existente, acordó con el Comité de Empresa del personal de Administración y Servicios Laboral el desarrollo de un Plan de Promoción Interna que hiciera posible prestar un mejor servicio público.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0"/>
          <w:lang w:eastAsia="es-ES"/>
        </w:rPr>
      </w:pPr>
    </w:p>
    <w:p w:rsidR="00D8106F" w:rsidRPr="00D8106F" w:rsidRDefault="00D8106F" w:rsidP="00D81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  <w:r w:rsidRPr="00D8106F"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  <w:t>2.- FUNDAMENTACIÓN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0"/>
          <w:lang w:val="es-ES_tradnl" w:eastAsia="es-ES"/>
        </w:rPr>
      </w:pPr>
    </w:p>
    <w:p w:rsidR="00D8106F" w:rsidRPr="00D8106F" w:rsidRDefault="00D8106F" w:rsidP="00D8106F">
      <w:pPr>
        <w:numPr>
          <w:ilvl w:val="3"/>
          <w:numId w:val="7"/>
        </w:numPr>
        <w:tabs>
          <w:tab w:val="num" w:pos="360"/>
        </w:tabs>
        <w:spacing w:after="0" w:line="240" w:lineRule="auto"/>
        <w:ind w:left="360"/>
        <w:rPr>
          <w:rFonts w:ascii="Garamond" w:eastAsia="Times New Roman" w:hAnsi="Garamond" w:cs="Times New Roman"/>
          <w:sz w:val="24"/>
          <w:szCs w:val="24"/>
          <w:lang w:eastAsia="es-ES"/>
        </w:rPr>
      </w:pPr>
      <w:r w:rsidRPr="00D8106F">
        <w:rPr>
          <w:rFonts w:ascii="Garamond" w:eastAsia="Times New Roman" w:hAnsi="Garamond" w:cs="Times New Roman"/>
          <w:sz w:val="24"/>
          <w:szCs w:val="20"/>
          <w:lang w:eastAsia="es-ES"/>
        </w:rPr>
        <w:t>Estatutos de la Universidad de Cádiz.</w:t>
      </w:r>
    </w:p>
    <w:p w:rsidR="00D8106F" w:rsidRPr="00D8106F" w:rsidRDefault="00D8106F" w:rsidP="00D8106F">
      <w:pPr>
        <w:numPr>
          <w:ilvl w:val="3"/>
          <w:numId w:val="7"/>
        </w:numPr>
        <w:tabs>
          <w:tab w:val="num" w:pos="360"/>
        </w:tabs>
        <w:spacing w:after="0" w:line="240" w:lineRule="auto"/>
        <w:ind w:left="360"/>
        <w:rPr>
          <w:rFonts w:ascii="Garamond" w:eastAsia="Times New Roman" w:hAnsi="Garamond" w:cs="Times New Roman"/>
          <w:sz w:val="24"/>
          <w:szCs w:val="24"/>
          <w:lang w:eastAsia="es-ES"/>
        </w:rPr>
      </w:pPr>
      <w:r w:rsidRPr="00D8106F">
        <w:rPr>
          <w:rFonts w:ascii="Garamond" w:eastAsia="Times New Roman" w:hAnsi="Garamond" w:cs="Times New Roman"/>
          <w:sz w:val="24"/>
          <w:szCs w:val="20"/>
          <w:lang w:eastAsia="es-ES"/>
        </w:rPr>
        <w:t xml:space="preserve">IV </w:t>
      </w:r>
      <w:r w:rsidRPr="00D8106F">
        <w:rPr>
          <w:rFonts w:ascii="Garamond" w:eastAsia="Times New Roman" w:hAnsi="Garamond" w:cs="Times New Roman"/>
          <w:sz w:val="24"/>
          <w:szCs w:val="24"/>
          <w:lang w:eastAsia="es-ES"/>
        </w:rPr>
        <w:t>Convenio Colectivo del Personal Laboral de las Universidades Públicas de Andalucía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es-ES"/>
        </w:rPr>
      </w:pP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0"/>
          <w:lang w:val="es-ES_tradnl" w:eastAsia="es-ES"/>
        </w:rPr>
      </w:pPr>
    </w:p>
    <w:p w:rsidR="00D8106F" w:rsidRPr="00D8106F" w:rsidRDefault="00D8106F" w:rsidP="00D81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  <w:r w:rsidRPr="00D8106F"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  <w:t>3.- PROPUESTA DE ACUERDO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0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es-ES"/>
        </w:rPr>
      </w:pPr>
      <w:r w:rsidRPr="00D8106F">
        <w:rPr>
          <w:rFonts w:ascii="Garamond" w:eastAsia="Times New Roman" w:hAnsi="Garamond" w:cs="Times New Roman"/>
          <w:sz w:val="24"/>
          <w:szCs w:val="20"/>
          <w:lang w:val="es-ES_tradnl" w:eastAsia="es-ES"/>
        </w:rPr>
        <w:t xml:space="preserve">Único.- Aprobar la propuesta Bases de convocatoria de </w:t>
      </w:r>
      <w:r w:rsidRPr="00D8106F">
        <w:rPr>
          <w:rFonts w:ascii="Garamond" w:eastAsia="Times New Roman" w:hAnsi="Garamond" w:cs="Times New Roman"/>
          <w:sz w:val="24"/>
          <w:szCs w:val="24"/>
          <w:lang w:eastAsia="es-ES"/>
        </w:rPr>
        <w:t>proceso</w:t>
      </w:r>
      <w:r w:rsidR="009E6085">
        <w:rPr>
          <w:rFonts w:ascii="Garamond" w:eastAsia="Times New Roman" w:hAnsi="Garamond" w:cs="Times New Roman"/>
          <w:sz w:val="24"/>
          <w:szCs w:val="24"/>
          <w:lang w:eastAsia="es-ES"/>
        </w:rPr>
        <w:t>s</w:t>
      </w:r>
      <w:r w:rsidRPr="00D8106F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 selectivo</w:t>
      </w:r>
      <w:r w:rsidR="009E6085">
        <w:rPr>
          <w:rFonts w:ascii="Garamond" w:eastAsia="Times New Roman" w:hAnsi="Garamond" w:cs="Times New Roman"/>
          <w:sz w:val="24"/>
          <w:szCs w:val="24"/>
          <w:lang w:eastAsia="es-ES"/>
        </w:rPr>
        <w:t>s</w:t>
      </w:r>
      <w:r w:rsidRPr="00D8106F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 para cubrir por </w:t>
      </w:r>
      <w:r w:rsidR="00C232DB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promoción interna </w:t>
      </w:r>
      <w:r w:rsidR="00C764DB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diferentes </w:t>
      </w:r>
      <w:r w:rsidR="00C232DB">
        <w:rPr>
          <w:rFonts w:ascii="Garamond" w:eastAsia="Times New Roman" w:hAnsi="Garamond" w:cs="Times New Roman"/>
          <w:sz w:val="24"/>
          <w:szCs w:val="24"/>
          <w:lang w:eastAsia="es-ES"/>
        </w:rPr>
        <w:t>plazas</w:t>
      </w:r>
      <w:r w:rsidR="00C764DB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 </w:t>
      </w:r>
      <w:r w:rsidR="00C232DB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de Personal de Administración y Servicios Laboral </w:t>
      </w:r>
      <w:r w:rsidRPr="00D8106F">
        <w:rPr>
          <w:rFonts w:ascii="Garamond" w:eastAsia="Times New Roman" w:hAnsi="Garamond" w:cs="Times New Roman"/>
          <w:sz w:val="24"/>
          <w:szCs w:val="24"/>
          <w:lang w:eastAsia="es-ES"/>
        </w:rPr>
        <w:t xml:space="preserve">de la </w:t>
      </w:r>
      <w:r w:rsidRPr="00D8106F">
        <w:rPr>
          <w:rFonts w:ascii="Garamond" w:eastAsia="Times New Roman" w:hAnsi="Garamond" w:cs="Times New Roman"/>
          <w:sz w:val="24"/>
          <w:szCs w:val="20"/>
          <w:lang w:eastAsia="es-ES"/>
        </w:rPr>
        <w:t>Universidad de Cádiz</w:t>
      </w:r>
      <w:r w:rsidR="00F124A4">
        <w:rPr>
          <w:rFonts w:ascii="Garamond" w:eastAsia="Times New Roman" w:hAnsi="Garamond" w:cs="Times New Roman"/>
          <w:sz w:val="24"/>
          <w:szCs w:val="20"/>
          <w:lang w:eastAsia="es-ES"/>
        </w:rPr>
        <w:t xml:space="preserve"> que se es</w:t>
      </w:r>
      <w:proofErr w:type="spellStart"/>
      <w:r w:rsidRPr="00D8106F">
        <w:rPr>
          <w:rFonts w:ascii="Garamond" w:eastAsia="Times New Roman" w:hAnsi="Garamond" w:cs="Times New Roman"/>
          <w:sz w:val="24"/>
          <w:szCs w:val="20"/>
          <w:lang w:val="es-ES_tradnl" w:eastAsia="es-ES"/>
        </w:rPr>
        <w:t>tablece</w:t>
      </w:r>
      <w:proofErr w:type="spellEnd"/>
      <w:r w:rsidRPr="00D8106F">
        <w:rPr>
          <w:rFonts w:ascii="Garamond" w:eastAsia="Times New Roman" w:hAnsi="Garamond" w:cs="Times New Roman"/>
          <w:sz w:val="24"/>
          <w:szCs w:val="20"/>
          <w:lang w:val="es-ES_tradnl" w:eastAsia="es-ES"/>
        </w:rPr>
        <w:t xml:space="preserve"> en </w:t>
      </w:r>
      <w:r w:rsidR="00C764DB">
        <w:rPr>
          <w:rFonts w:ascii="Garamond" w:eastAsia="Times New Roman" w:hAnsi="Garamond" w:cs="Times New Roman"/>
          <w:sz w:val="24"/>
          <w:szCs w:val="20"/>
          <w:lang w:val="es-ES_tradnl" w:eastAsia="es-ES"/>
        </w:rPr>
        <w:t>el siguiente Anexo</w:t>
      </w:r>
      <w:r w:rsidR="00C232DB">
        <w:rPr>
          <w:rFonts w:ascii="Garamond" w:eastAsia="Times New Roman" w:hAnsi="Garamond" w:cs="Times New Roman"/>
          <w:sz w:val="24"/>
          <w:szCs w:val="20"/>
          <w:lang w:val="es-ES_tradnl" w:eastAsia="es-ES"/>
        </w:rPr>
        <w:t>.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lang w:val="es-ES_tradnl" w:eastAsia="es-ES"/>
        </w:rPr>
      </w:pPr>
    </w:p>
    <w:p w:rsidR="00D8106F" w:rsidRPr="00D8106F" w:rsidRDefault="00D8106F" w:rsidP="00D810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</w:pPr>
      <w:r w:rsidRPr="00D8106F">
        <w:rPr>
          <w:rFonts w:ascii="Garamond" w:eastAsia="Times New Roman" w:hAnsi="Garamond" w:cs="Times New Roman"/>
          <w:b/>
          <w:sz w:val="24"/>
          <w:szCs w:val="20"/>
          <w:lang w:val="es-ES_tradnl" w:eastAsia="es-ES"/>
        </w:rPr>
        <w:t>4.- RELACIÓN DE DOCUMENTOS</w:t>
      </w: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0"/>
          <w:lang w:val="es-ES_tradnl" w:eastAsia="es-ES"/>
        </w:rPr>
      </w:pPr>
    </w:p>
    <w:p w:rsidR="00C232DB" w:rsidRPr="00C764DB" w:rsidRDefault="00D8106F" w:rsidP="00C232DB">
      <w:pPr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  <w:r w:rsidRPr="00C764DB">
        <w:rPr>
          <w:rFonts w:ascii="Garamond" w:eastAsia="Times New Roman" w:hAnsi="Garamond" w:cs="Times New Roman"/>
          <w:sz w:val="24"/>
          <w:szCs w:val="24"/>
          <w:lang w:val="es-ES_tradnl" w:eastAsia="es-ES"/>
        </w:rPr>
        <w:t xml:space="preserve">Anexo </w:t>
      </w:r>
      <w:r w:rsidR="00C232DB" w:rsidRPr="00C764DB">
        <w:rPr>
          <w:rFonts w:ascii="Garamond" w:eastAsia="Times New Roman" w:hAnsi="Garamond" w:cs="Times New Roman"/>
          <w:sz w:val="24"/>
          <w:szCs w:val="24"/>
          <w:lang w:val="es-ES_tradnl" w:eastAsia="es-ES"/>
        </w:rPr>
        <w:t xml:space="preserve">A.- Propuesta de Bases de convocatoria de proceso selectivo para cubrir, </w:t>
      </w:r>
      <w:r w:rsidR="00C764DB">
        <w:rPr>
          <w:rFonts w:ascii="Garamond" w:eastAsia="Times New Roman" w:hAnsi="Garamond" w:cs="Times New Roman"/>
          <w:sz w:val="24"/>
          <w:szCs w:val="24"/>
          <w:lang w:val="es-ES_tradnl" w:eastAsia="es-ES"/>
        </w:rPr>
        <w:t>por promoción interna, diferentes plazas de Personal de Administración y Servicios Laboral de la Universidad de Cádiz</w:t>
      </w:r>
    </w:p>
    <w:p w:rsid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C764DB" w:rsidRDefault="00C764DB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C764DB" w:rsidRPr="00D8106F" w:rsidRDefault="00C764DB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D8106F" w:rsidRPr="00D8106F" w:rsidRDefault="00D8106F" w:rsidP="00D8106F">
      <w:pPr>
        <w:keepNext/>
        <w:spacing w:after="0" w:line="240" w:lineRule="auto"/>
        <w:outlineLvl w:val="1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  <w:r w:rsidRPr="00D8106F">
        <w:rPr>
          <w:rFonts w:ascii="Garamond" w:eastAsia="Times New Roman" w:hAnsi="Garamond" w:cs="Times New Roman"/>
          <w:sz w:val="24"/>
          <w:szCs w:val="24"/>
          <w:lang w:val="es-ES_tradnl" w:eastAsia="es-ES"/>
        </w:rPr>
        <w:lastRenderedPageBreak/>
        <w:t>Cádiz, 21 de septiembre de 2016</w:t>
      </w: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</w:p>
    <w:p w:rsidR="00D8106F" w:rsidRPr="00D8106F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  <w:r w:rsidRPr="00D8106F">
        <w:rPr>
          <w:rFonts w:ascii="Garamond" w:eastAsia="Times New Roman" w:hAnsi="Garamond" w:cs="Times New Roman"/>
          <w:sz w:val="24"/>
          <w:szCs w:val="24"/>
          <w:lang w:val="es-ES_tradnl" w:eastAsia="es-ES"/>
        </w:rPr>
        <w:t>Alberto Tejero Navarro</w:t>
      </w:r>
    </w:p>
    <w:p w:rsidR="00F124A4" w:rsidRDefault="00D8106F" w:rsidP="00D8106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es-ES_tradnl" w:eastAsia="es-ES"/>
        </w:rPr>
      </w:pPr>
      <w:r w:rsidRPr="00D8106F">
        <w:rPr>
          <w:rFonts w:ascii="Garamond" w:eastAsia="Times New Roman" w:hAnsi="Garamond" w:cs="Times New Roman"/>
          <w:sz w:val="24"/>
          <w:szCs w:val="24"/>
          <w:lang w:val="es-ES_tradnl" w:eastAsia="es-ES"/>
        </w:rPr>
        <w:t>Gerente</w:t>
      </w:r>
    </w:p>
    <w:p w:rsidR="00D510F6" w:rsidRDefault="00F124A4" w:rsidP="008E02AF">
      <w:pPr>
        <w:rPr>
          <w:rFonts w:ascii="Garamond" w:eastAsia="Times New Roman" w:hAnsi="Garamond" w:cs="Times New Roman"/>
          <w:b/>
          <w:spacing w:val="-3"/>
          <w:lang w:eastAsia="es-ES"/>
        </w:rPr>
      </w:pPr>
      <w:r>
        <w:rPr>
          <w:rFonts w:ascii="Garamond" w:eastAsia="Times New Roman" w:hAnsi="Garamond" w:cs="Times New Roman"/>
          <w:sz w:val="24"/>
          <w:szCs w:val="24"/>
          <w:lang w:val="es-ES_tradnl" w:eastAsia="es-ES"/>
        </w:rPr>
        <w:br w:type="page"/>
      </w:r>
      <w:bookmarkStart w:id="0" w:name="_GoBack"/>
      <w:bookmarkEnd w:id="0"/>
    </w:p>
    <w:p w:rsidR="00853916" w:rsidRPr="00083056" w:rsidRDefault="00853916" w:rsidP="00853916">
      <w:pPr>
        <w:pStyle w:val="Default"/>
        <w:spacing w:line="360" w:lineRule="auto"/>
      </w:pPr>
    </w:p>
    <w:sectPr w:rsidR="00853916" w:rsidRPr="00083056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DF2" w:rsidRDefault="005E2DF2" w:rsidP="00183BF2">
      <w:pPr>
        <w:spacing w:after="0" w:line="240" w:lineRule="auto"/>
      </w:pPr>
      <w:r>
        <w:separator/>
      </w:r>
    </w:p>
  </w:endnote>
  <w:endnote w:type="continuationSeparator" w:id="0">
    <w:p w:rsidR="005E2DF2" w:rsidRDefault="005E2DF2" w:rsidP="0018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DF2" w:rsidRDefault="005E2DF2" w:rsidP="00183BF2">
      <w:pPr>
        <w:spacing w:after="0" w:line="240" w:lineRule="auto"/>
      </w:pPr>
      <w:r>
        <w:separator/>
      </w:r>
    </w:p>
  </w:footnote>
  <w:footnote w:type="continuationSeparator" w:id="0">
    <w:p w:rsidR="005E2DF2" w:rsidRDefault="005E2DF2" w:rsidP="0018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5" w:type="dxa"/>
      <w:tblInd w:w="-31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73"/>
      <w:gridCol w:w="227"/>
      <w:gridCol w:w="4345"/>
      <w:gridCol w:w="160"/>
      <w:gridCol w:w="2170"/>
    </w:tblGrid>
    <w:tr w:rsidR="00F124A4" w:rsidRPr="00183BF2" w:rsidTr="00853916">
      <w:trPr>
        <w:cantSplit/>
        <w:trHeight w:val="1545"/>
      </w:trPr>
      <w:tc>
        <w:tcPr>
          <w:tcW w:w="3373" w:type="dxa"/>
          <w:tcBorders>
            <w:bottom w:val="nil"/>
          </w:tcBorders>
        </w:tcPr>
        <w:p w:rsidR="00F124A4" w:rsidRPr="00183BF2" w:rsidRDefault="00F124A4" w:rsidP="00183BF2">
          <w:pPr>
            <w:widowControl w:val="0"/>
            <w:tabs>
              <w:tab w:val="left" w:pos="1730"/>
              <w:tab w:val="left" w:pos="4500"/>
              <w:tab w:val="left" w:pos="7380"/>
            </w:tabs>
            <w:spacing w:before="60" w:after="0" w:line="312" w:lineRule="auto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13A325B9" wp14:editId="74EAE360">
                <wp:extent cx="1743075" cy="895350"/>
                <wp:effectExtent l="0" t="0" r="9525" b="0"/>
                <wp:docPr id="3" name="Imagen 3" descr="Logo_uca_horizontal_wor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uca_horizontal_wor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" w:type="dxa"/>
          <w:tcBorders>
            <w:bottom w:val="nil"/>
          </w:tcBorders>
          <w:vAlign w:val="center"/>
        </w:tcPr>
        <w:p w:rsidR="00F124A4" w:rsidRPr="00183BF2" w:rsidRDefault="00F124A4" w:rsidP="00183BF2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center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7221CA6A" wp14:editId="155F3E1F">
                <wp:extent cx="9525" cy="685800"/>
                <wp:effectExtent l="0" t="0" r="0" b="0"/>
                <wp:docPr id="2" name="Imagen 2" descr="Barra_vertic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_vertical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45" w:type="dxa"/>
          <w:tcBorders>
            <w:bottom w:val="nil"/>
          </w:tcBorders>
        </w:tcPr>
        <w:p w:rsidR="00F124A4" w:rsidRPr="00183BF2" w:rsidRDefault="00F124A4" w:rsidP="00183BF2">
          <w:pPr>
            <w:keepNext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</w:p>
        <w:p w:rsidR="00F124A4" w:rsidRPr="00183BF2" w:rsidRDefault="00F124A4" w:rsidP="00183BF2">
          <w:pPr>
            <w:keepNext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  <w:r w:rsidRPr="00183BF2"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  <w:t>Gerencia</w:t>
          </w:r>
        </w:p>
        <w:p w:rsidR="00F124A4" w:rsidRPr="00183BF2" w:rsidRDefault="00F124A4" w:rsidP="00183BF2">
          <w:pPr>
            <w:keepNext/>
            <w:tabs>
              <w:tab w:val="left" w:pos="4500"/>
              <w:tab w:val="left" w:pos="7380"/>
            </w:tabs>
            <w:spacing w:after="0" w:line="240" w:lineRule="auto"/>
            <w:outlineLvl w:val="0"/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</w:pPr>
          <w:r w:rsidRPr="00183BF2">
            <w:rPr>
              <w:rFonts w:ascii="Helvetica 55 Roman" w:eastAsia="Arial Unicode MS" w:hAnsi="Helvetica 55 Roman" w:cs="Arial Unicode MS"/>
              <w:bCs/>
              <w:color w:val="006073"/>
              <w:sz w:val="16"/>
              <w:szCs w:val="20"/>
              <w:lang w:eastAsia="es-ES"/>
            </w:rPr>
            <w:t>Área de Personal</w:t>
          </w:r>
        </w:p>
      </w:tc>
      <w:tc>
        <w:tcPr>
          <w:tcW w:w="0" w:type="auto"/>
          <w:tcBorders>
            <w:bottom w:val="nil"/>
          </w:tcBorders>
          <w:vAlign w:val="center"/>
        </w:tcPr>
        <w:p w:rsidR="00F124A4" w:rsidRPr="00183BF2" w:rsidRDefault="00F124A4" w:rsidP="00183BF2">
          <w:pPr>
            <w:widowControl w:val="0"/>
            <w:tabs>
              <w:tab w:val="left" w:pos="4500"/>
              <w:tab w:val="left" w:pos="7380"/>
            </w:tabs>
            <w:spacing w:after="0" w:line="312" w:lineRule="auto"/>
            <w:jc w:val="center"/>
            <w:rPr>
              <w:rFonts w:ascii="Garamond" w:eastAsia="Times New Roman" w:hAnsi="Garamond" w:cs="Times New Roman"/>
              <w:sz w:val="20"/>
              <w:szCs w:val="24"/>
              <w:lang w:eastAsia="es-ES"/>
            </w:rPr>
          </w:pPr>
          <w:r>
            <w:rPr>
              <w:rFonts w:ascii="Garamond" w:eastAsia="Times New Roman" w:hAnsi="Garamond" w:cs="Times New Roman"/>
              <w:noProof/>
              <w:sz w:val="20"/>
              <w:szCs w:val="24"/>
              <w:lang w:eastAsia="es-ES"/>
            </w:rPr>
            <w:drawing>
              <wp:inline distT="0" distB="0" distL="0" distR="0" wp14:anchorId="01DED740" wp14:editId="5CF45743">
                <wp:extent cx="9525" cy="685800"/>
                <wp:effectExtent l="0" t="0" r="0" b="0"/>
                <wp:docPr id="1" name="Imagen 1" descr="Barra_vertic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_vertical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bottom w:val="nil"/>
          </w:tcBorders>
        </w:tcPr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</w:p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>C/. Ancha, 10. 11001 Cádiz.</w:t>
          </w:r>
        </w:p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>Teléfono         956015039</w:t>
          </w:r>
        </w:p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 xml:space="preserve">Fax </w:t>
          </w: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ab/>
            <w:t>956015088</w:t>
          </w:r>
        </w:p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>http://www.uca.es/personal</w:t>
          </w:r>
        </w:p>
        <w:p w:rsidR="00F124A4" w:rsidRPr="00183BF2" w:rsidRDefault="00F124A4" w:rsidP="00183BF2">
          <w:pPr>
            <w:widowControl w:val="0"/>
            <w:spacing w:after="0" w:line="240" w:lineRule="auto"/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</w:pPr>
          <w:r w:rsidRPr="00183BF2">
            <w:rPr>
              <w:rFonts w:ascii="Helvetica 55 Roman" w:eastAsia="Times New Roman" w:hAnsi="Helvetica 55 Roman" w:cs="Times New Roman"/>
              <w:color w:val="717579"/>
              <w:sz w:val="16"/>
              <w:szCs w:val="20"/>
              <w:lang w:eastAsia="es-ES"/>
            </w:rPr>
            <w:t>planificacion.personal@uca.es</w:t>
          </w:r>
        </w:p>
      </w:tc>
    </w:tr>
  </w:tbl>
  <w:p w:rsidR="00F124A4" w:rsidRDefault="00F124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A4894"/>
    <w:multiLevelType w:val="hybridMultilevel"/>
    <w:tmpl w:val="C43CD92C"/>
    <w:lvl w:ilvl="0" w:tplc="911A0F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2E3B13"/>
    <w:multiLevelType w:val="hybridMultilevel"/>
    <w:tmpl w:val="243ED34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0D9655D"/>
    <w:multiLevelType w:val="hybridMultilevel"/>
    <w:tmpl w:val="B9AC80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B1ACF"/>
    <w:multiLevelType w:val="hybridMultilevel"/>
    <w:tmpl w:val="103884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F3ADC"/>
    <w:multiLevelType w:val="hybridMultilevel"/>
    <w:tmpl w:val="0A2EDE22"/>
    <w:lvl w:ilvl="0" w:tplc="6EFAEE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B47048"/>
    <w:multiLevelType w:val="hybridMultilevel"/>
    <w:tmpl w:val="6E7CF7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3C60BD"/>
    <w:multiLevelType w:val="hybridMultilevel"/>
    <w:tmpl w:val="13668A2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8FA5516"/>
    <w:multiLevelType w:val="hybridMultilevel"/>
    <w:tmpl w:val="D66A21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BC9"/>
    <w:rsid w:val="000472EF"/>
    <w:rsid w:val="00083056"/>
    <w:rsid w:val="000835D7"/>
    <w:rsid w:val="000B7C31"/>
    <w:rsid w:val="000E30AB"/>
    <w:rsid w:val="0012108E"/>
    <w:rsid w:val="0012413D"/>
    <w:rsid w:val="00132C1C"/>
    <w:rsid w:val="00137787"/>
    <w:rsid w:val="00155BA9"/>
    <w:rsid w:val="00183BF2"/>
    <w:rsid w:val="00196EA0"/>
    <w:rsid w:val="001B1D98"/>
    <w:rsid w:val="002312B2"/>
    <w:rsid w:val="00261A97"/>
    <w:rsid w:val="0026775F"/>
    <w:rsid w:val="002773DE"/>
    <w:rsid w:val="00287F62"/>
    <w:rsid w:val="00290DAA"/>
    <w:rsid w:val="002973E8"/>
    <w:rsid w:val="002E30DD"/>
    <w:rsid w:val="002E584B"/>
    <w:rsid w:val="002F5464"/>
    <w:rsid w:val="003159B8"/>
    <w:rsid w:val="00321DB8"/>
    <w:rsid w:val="003543DD"/>
    <w:rsid w:val="00362B92"/>
    <w:rsid w:val="003C45C4"/>
    <w:rsid w:val="003F5BC9"/>
    <w:rsid w:val="00437C2A"/>
    <w:rsid w:val="00445A9B"/>
    <w:rsid w:val="00456389"/>
    <w:rsid w:val="004C6B93"/>
    <w:rsid w:val="004E27CC"/>
    <w:rsid w:val="004E550C"/>
    <w:rsid w:val="0055253A"/>
    <w:rsid w:val="00570806"/>
    <w:rsid w:val="0059568E"/>
    <w:rsid w:val="005C362E"/>
    <w:rsid w:val="005E2DF2"/>
    <w:rsid w:val="005E588E"/>
    <w:rsid w:val="005F7B2A"/>
    <w:rsid w:val="00606382"/>
    <w:rsid w:val="006250AA"/>
    <w:rsid w:val="006D1DBF"/>
    <w:rsid w:val="006E247D"/>
    <w:rsid w:val="00705D34"/>
    <w:rsid w:val="007140F8"/>
    <w:rsid w:val="00715FAD"/>
    <w:rsid w:val="007308B9"/>
    <w:rsid w:val="0076263F"/>
    <w:rsid w:val="00797CC2"/>
    <w:rsid w:val="007A1CDF"/>
    <w:rsid w:val="007A26CF"/>
    <w:rsid w:val="007B2457"/>
    <w:rsid w:val="007C76F1"/>
    <w:rsid w:val="007D763D"/>
    <w:rsid w:val="007E0CA0"/>
    <w:rsid w:val="00853916"/>
    <w:rsid w:val="0089123F"/>
    <w:rsid w:val="00896DF8"/>
    <w:rsid w:val="008E02AF"/>
    <w:rsid w:val="008E375F"/>
    <w:rsid w:val="009001E7"/>
    <w:rsid w:val="009158DE"/>
    <w:rsid w:val="009268D7"/>
    <w:rsid w:val="00943710"/>
    <w:rsid w:val="0095546F"/>
    <w:rsid w:val="00962E4E"/>
    <w:rsid w:val="009A2630"/>
    <w:rsid w:val="009B3D9A"/>
    <w:rsid w:val="009C3E1B"/>
    <w:rsid w:val="009C6669"/>
    <w:rsid w:val="009E2A09"/>
    <w:rsid w:val="009E5DDB"/>
    <w:rsid w:val="009E6085"/>
    <w:rsid w:val="009F7550"/>
    <w:rsid w:val="00A16DA1"/>
    <w:rsid w:val="00A529EE"/>
    <w:rsid w:val="00A77E9A"/>
    <w:rsid w:val="00B00644"/>
    <w:rsid w:val="00B51116"/>
    <w:rsid w:val="00B56CE4"/>
    <w:rsid w:val="00BA2830"/>
    <w:rsid w:val="00BE2D47"/>
    <w:rsid w:val="00BE7610"/>
    <w:rsid w:val="00C232DB"/>
    <w:rsid w:val="00C547CB"/>
    <w:rsid w:val="00C676BC"/>
    <w:rsid w:val="00C764DB"/>
    <w:rsid w:val="00C960DC"/>
    <w:rsid w:val="00CE6647"/>
    <w:rsid w:val="00D03EF2"/>
    <w:rsid w:val="00D14027"/>
    <w:rsid w:val="00D17543"/>
    <w:rsid w:val="00D510F6"/>
    <w:rsid w:val="00D8106F"/>
    <w:rsid w:val="00D87082"/>
    <w:rsid w:val="00D91254"/>
    <w:rsid w:val="00DC0331"/>
    <w:rsid w:val="00E03D96"/>
    <w:rsid w:val="00E11C55"/>
    <w:rsid w:val="00E47B1F"/>
    <w:rsid w:val="00E56601"/>
    <w:rsid w:val="00E601E0"/>
    <w:rsid w:val="00E93437"/>
    <w:rsid w:val="00E94CED"/>
    <w:rsid w:val="00ED116E"/>
    <w:rsid w:val="00EF2191"/>
    <w:rsid w:val="00EF5641"/>
    <w:rsid w:val="00F02E14"/>
    <w:rsid w:val="00F124A4"/>
    <w:rsid w:val="00F22A6E"/>
    <w:rsid w:val="00F365A4"/>
    <w:rsid w:val="00F412A6"/>
    <w:rsid w:val="00F47C42"/>
    <w:rsid w:val="00F742B7"/>
    <w:rsid w:val="00F75A6E"/>
    <w:rsid w:val="00FD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F5B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7E0CA0"/>
    <w:pPr>
      <w:spacing w:line="201" w:lineRule="atLeast"/>
    </w:pPr>
    <w:rPr>
      <w:color w:val="auto"/>
    </w:rPr>
  </w:style>
  <w:style w:type="paragraph" w:styleId="Prrafodelista">
    <w:name w:val="List Paragraph"/>
    <w:basedOn w:val="Normal"/>
    <w:uiPriority w:val="34"/>
    <w:qFormat/>
    <w:rsid w:val="007308B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3B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BF2"/>
  </w:style>
  <w:style w:type="paragraph" w:styleId="Piedepgina">
    <w:name w:val="footer"/>
    <w:basedOn w:val="Normal"/>
    <w:link w:val="PiedepginaCar"/>
    <w:uiPriority w:val="99"/>
    <w:unhideWhenUsed/>
    <w:rsid w:val="00183B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BF2"/>
  </w:style>
  <w:style w:type="paragraph" w:styleId="Textodeglobo">
    <w:name w:val="Balloon Text"/>
    <w:basedOn w:val="Normal"/>
    <w:link w:val="TextodegloboCar"/>
    <w:uiPriority w:val="99"/>
    <w:semiHidden/>
    <w:unhideWhenUsed/>
    <w:rsid w:val="0018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3BF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2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21DB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21DB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21DB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21DB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21DB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21DB8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F22A6E"/>
    <w:rPr>
      <w:color w:val="0000FF" w:themeColor="hyperlink"/>
      <w:u w:val="single"/>
    </w:rPr>
  </w:style>
  <w:style w:type="paragraph" w:customStyle="1" w:styleId="Pa9">
    <w:name w:val="Pa9"/>
    <w:basedOn w:val="Normal"/>
    <w:next w:val="Normal"/>
    <w:uiPriority w:val="99"/>
    <w:rsid w:val="00D510F6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F5B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3F5BC9"/>
    <w:pPr>
      <w:spacing w:line="20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7E0CA0"/>
    <w:pPr>
      <w:spacing w:line="201" w:lineRule="atLeast"/>
    </w:pPr>
    <w:rPr>
      <w:color w:val="auto"/>
    </w:rPr>
  </w:style>
  <w:style w:type="paragraph" w:styleId="Prrafodelista">
    <w:name w:val="List Paragraph"/>
    <w:basedOn w:val="Normal"/>
    <w:uiPriority w:val="34"/>
    <w:qFormat/>
    <w:rsid w:val="007308B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3B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BF2"/>
  </w:style>
  <w:style w:type="paragraph" w:styleId="Piedepgina">
    <w:name w:val="footer"/>
    <w:basedOn w:val="Normal"/>
    <w:link w:val="PiedepginaCar"/>
    <w:uiPriority w:val="99"/>
    <w:unhideWhenUsed/>
    <w:rsid w:val="00183B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BF2"/>
  </w:style>
  <w:style w:type="paragraph" w:styleId="Textodeglobo">
    <w:name w:val="Balloon Text"/>
    <w:basedOn w:val="Normal"/>
    <w:link w:val="TextodegloboCar"/>
    <w:uiPriority w:val="99"/>
    <w:semiHidden/>
    <w:unhideWhenUsed/>
    <w:rsid w:val="0018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3BF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2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21DB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21DB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21DB8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21DB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21DB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321DB8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F22A6E"/>
    <w:rPr>
      <w:color w:val="0000FF" w:themeColor="hyperlink"/>
      <w:u w:val="single"/>
    </w:rPr>
  </w:style>
  <w:style w:type="paragraph" w:customStyle="1" w:styleId="Pa9">
    <w:name w:val="Pa9"/>
    <w:basedOn w:val="Normal"/>
    <w:next w:val="Normal"/>
    <w:uiPriority w:val="99"/>
    <w:rsid w:val="00D510F6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12B77-F6B0-4531-BBE7-B8E2B92C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Marrero</cp:lastModifiedBy>
  <cp:revision>3</cp:revision>
  <cp:lastPrinted>2016-09-23T08:56:00Z</cp:lastPrinted>
  <dcterms:created xsi:type="dcterms:W3CDTF">2016-09-23T09:02:00Z</dcterms:created>
  <dcterms:modified xsi:type="dcterms:W3CDTF">2016-09-23T09:08:00Z</dcterms:modified>
</cp:coreProperties>
</file>